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ordWrap w:val="0"/>
        <w:spacing w:before="0" w:after="0" w:line="620" w:lineRule="exact"/>
        <w:jc w:val="left"/>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eastAsia="zh-CN"/>
        </w:rPr>
        <w:t>附件</w:t>
      </w:r>
      <w:r>
        <w:rPr>
          <w:rFonts w:hint="default" w:ascii="Times New Roman" w:hAnsi="Times New Roman" w:eastAsia="黑体" w:cs="Times New Roman"/>
          <w:b w:val="0"/>
          <w:bCs/>
          <w:sz w:val="32"/>
          <w:szCs w:val="32"/>
          <w:lang w:val="en-US" w:eastAsia="zh-CN"/>
        </w:rPr>
        <w:t>1</w:t>
      </w:r>
    </w:p>
    <w:p>
      <w:pPr>
        <w:pStyle w:val="3"/>
        <w:pageBreakBefore w:val="0"/>
        <w:widowControl w:val="0"/>
        <w:kinsoku/>
        <w:wordWrap w:val="0"/>
        <w:overflowPunct/>
        <w:autoSpaceDE/>
        <w:autoSpaceDN/>
        <w:bidi w:val="0"/>
        <w:spacing w:before="0" w:after="0" w:line="560" w:lineRule="exact"/>
        <w:jc w:val="center"/>
        <w:textAlignment w:val="auto"/>
        <w:rPr>
          <w:rFonts w:hint="default" w:ascii="Times New Roman" w:hAnsi="Times New Roman" w:eastAsia="方正小标宋_GBK" w:cs="Times New Roman"/>
          <w:b w:val="0"/>
          <w:bCs/>
          <w:szCs w:val="44"/>
        </w:rPr>
      </w:pPr>
    </w:p>
    <w:p>
      <w:pPr>
        <w:pStyle w:val="3"/>
        <w:pageBreakBefore w:val="0"/>
        <w:widowControl w:val="0"/>
        <w:kinsoku/>
        <w:wordWrap w:val="0"/>
        <w:overflowPunct/>
        <w:autoSpaceDE/>
        <w:autoSpaceDN/>
        <w:bidi w:val="0"/>
        <w:spacing w:before="0" w:after="0" w:line="560" w:lineRule="exact"/>
        <w:jc w:val="center"/>
        <w:textAlignment w:val="auto"/>
        <w:rPr>
          <w:rFonts w:hint="default" w:ascii="Times New Roman" w:hAnsi="Times New Roman" w:eastAsia="方正小标宋简体" w:cs="Times New Roman"/>
          <w:b w:val="0"/>
          <w:bCs/>
          <w:szCs w:val="44"/>
        </w:rPr>
      </w:pPr>
      <w:r>
        <w:rPr>
          <w:rFonts w:hint="default" w:ascii="Times New Roman" w:hAnsi="Times New Roman" w:eastAsia="方正小标宋简体" w:cs="Times New Roman"/>
          <w:b w:val="0"/>
          <w:bCs/>
          <w:szCs w:val="44"/>
        </w:rPr>
        <w:t>第十</w:t>
      </w:r>
      <w:r>
        <w:rPr>
          <w:rFonts w:hint="default" w:ascii="Times New Roman" w:hAnsi="Times New Roman" w:eastAsia="方正小标宋简体" w:cs="Times New Roman"/>
          <w:b w:val="0"/>
          <w:bCs/>
          <w:szCs w:val="44"/>
          <w:lang w:eastAsia="zh-CN"/>
        </w:rPr>
        <w:t>二</w:t>
      </w:r>
      <w:r>
        <w:rPr>
          <w:rFonts w:hint="default" w:ascii="Times New Roman" w:hAnsi="Times New Roman" w:eastAsia="方正小标宋简体" w:cs="Times New Roman"/>
          <w:b w:val="0"/>
          <w:bCs/>
          <w:szCs w:val="44"/>
        </w:rPr>
        <w:t>届中国创新创业大赛贵州赛区</w:t>
      </w:r>
    </w:p>
    <w:p>
      <w:pPr>
        <w:pStyle w:val="3"/>
        <w:pageBreakBefore w:val="0"/>
        <w:widowControl w:val="0"/>
        <w:kinsoku/>
        <w:wordWrap w:val="0"/>
        <w:overflowPunct/>
        <w:autoSpaceDE/>
        <w:autoSpaceDN/>
        <w:bidi w:val="0"/>
        <w:spacing w:before="0" w:after="0" w:line="560" w:lineRule="exact"/>
        <w:jc w:val="center"/>
        <w:textAlignment w:val="auto"/>
        <w:rPr>
          <w:rFonts w:hint="default" w:ascii="Times New Roman" w:hAnsi="Times New Roman" w:eastAsia="方正小标宋简体" w:cs="Times New Roman"/>
          <w:b w:val="0"/>
          <w:bCs/>
          <w:szCs w:val="44"/>
        </w:rPr>
      </w:pPr>
      <w:r>
        <w:rPr>
          <w:rFonts w:hint="default" w:ascii="Times New Roman" w:hAnsi="Times New Roman" w:eastAsia="方正小标宋简体" w:cs="Times New Roman"/>
          <w:b w:val="0"/>
          <w:bCs/>
          <w:szCs w:val="44"/>
        </w:rPr>
        <w:t>决赛</w:t>
      </w:r>
      <w:r>
        <w:rPr>
          <w:rFonts w:hint="default" w:ascii="Times New Roman" w:hAnsi="Times New Roman" w:eastAsia="方正小标宋简体" w:cs="Times New Roman"/>
          <w:b w:val="0"/>
          <w:bCs/>
          <w:szCs w:val="44"/>
          <w:lang w:eastAsia="zh-CN"/>
        </w:rPr>
        <w:t>活动</w:t>
      </w:r>
      <w:r>
        <w:rPr>
          <w:rFonts w:hint="default" w:ascii="Times New Roman" w:hAnsi="Times New Roman" w:eastAsia="方正小标宋简体" w:cs="Times New Roman"/>
          <w:b w:val="0"/>
          <w:bCs/>
          <w:szCs w:val="44"/>
        </w:rPr>
        <w:t>方案</w:t>
      </w:r>
    </w:p>
    <w:p>
      <w:pPr>
        <w:pageBreakBefore w:val="0"/>
        <w:widowControl w:val="0"/>
        <w:kinsoku/>
        <w:overflowPunct/>
        <w:autoSpaceDE/>
        <w:autoSpaceDN/>
        <w:bidi w:val="0"/>
        <w:spacing w:line="560" w:lineRule="exact"/>
        <w:textAlignment w:val="auto"/>
        <w:rPr>
          <w:rFonts w:hint="default" w:ascii="Times New Roman" w:hAnsi="Times New Roman" w:eastAsia="方正小标宋简体" w:cs="Times New Roman"/>
          <w:sz w:val="44"/>
          <w:szCs w:val="44"/>
        </w:rPr>
      </w:pPr>
    </w:p>
    <w:p>
      <w:pPr>
        <w:pageBreakBefore w:val="0"/>
        <w:widowControl w:val="0"/>
        <w:kinsoku/>
        <w:overflowPunct/>
        <w:autoSpaceDE/>
        <w:autoSpaceDN/>
        <w:bidi w:val="0"/>
        <w:spacing w:line="560" w:lineRule="exact"/>
        <w:ind w:firstLine="640" w:firstLineChars="200"/>
        <w:textAlignment w:val="auto"/>
        <w:rPr>
          <w:rFonts w:hint="default" w:ascii="Times New Roman" w:hAnsi="Times New Roman" w:eastAsia="仿宋GB2312" w:cs="Times New Roman"/>
          <w:sz w:val="32"/>
          <w:szCs w:val="32"/>
        </w:rPr>
      </w:pPr>
      <w:r>
        <w:rPr>
          <w:rFonts w:hint="default" w:ascii="Times New Roman" w:hAnsi="Times New Roman" w:eastAsia="仿宋_GB2312" w:cs="Times New Roman"/>
          <w:sz w:val="32"/>
          <w:szCs w:val="32"/>
        </w:rPr>
        <w:t>本届大赛通过</w:t>
      </w:r>
      <w:r>
        <w:rPr>
          <w:rFonts w:hint="default" w:ascii="Times New Roman" w:hAnsi="Times New Roman" w:eastAsia="仿宋_GB2312" w:cs="Times New Roman"/>
          <w:sz w:val="32"/>
          <w:szCs w:val="32"/>
          <w:lang w:eastAsia="zh-CN"/>
        </w:rPr>
        <w:t>初赛、</w:t>
      </w:r>
      <w:r>
        <w:rPr>
          <w:rFonts w:hint="default" w:ascii="Times New Roman" w:hAnsi="Times New Roman" w:eastAsia="仿宋_GB2312" w:cs="Times New Roman"/>
          <w:sz w:val="32"/>
          <w:szCs w:val="32"/>
        </w:rPr>
        <w:t>复赛的</w:t>
      </w:r>
      <w:r>
        <w:rPr>
          <w:rFonts w:hint="default" w:ascii="Times New Roman" w:hAnsi="Times New Roman" w:eastAsia="仿宋_GB2312" w:cs="Times New Roman"/>
          <w:sz w:val="32"/>
          <w:szCs w:val="32"/>
          <w:lang w:eastAsia="zh-CN"/>
        </w:rPr>
        <w:t>选拔</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共</w:t>
      </w:r>
      <w:r>
        <w:rPr>
          <w:rFonts w:hint="default" w:ascii="Times New Roman" w:hAnsi="Times New Roman" w:eastAsia="仿宋_GB2312" w:cs="Times New Roman"/>
          <w:sz w:val="32"/>
          <w:szCs w:val="32"/>
        </w:rPr>
        <w:t>评选出3</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家参赛企业（其中，初创企业组</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家，成长企业组</w:t>
      </w:r>
      <w:r>
        <w:rPr>
          <w:rFonts w:hint="default"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家）晋级决赛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为确保决赛活动顺利开展，特制定本活动方案</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决赛时间</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lang w:val="en-US" w:eastAsia="zh-CN"/>
        </w:rPr>
      </w:pPr>
      <w:r>
        <w:rPr>
          <w:rFonts w:hint="default" w:ascii="Times New Roman" w:hAnsi="Times New Roman" w:eastAsia="仿宋_GB2312" w:cs="Times New Roman"/>
          <w:kern w:val="2"/>
          <w:sz w:val="32"/>
          <w:szCs w:val="32"/>
          <w:lang w:val="en-US" w:eastAsia="zh-CN" w:bidi="ar-SA"/>
        </w:rPr>
        <w:t>2023年8月21日（星期一），全天。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二、决赛地点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GB2312" w:cs="Times New Roman"/>
          <w:b w:val="0"/>
          <w:bCs w:val="0"/>
          <w:sz w:val="32"/>
          <w:szCs w:val="32"/>
          <w:lang w:eastAsia="zh-CN"/>
        </w:rPr>
      </w:pPr>
      <w:r>
        <w:rPr>
          <w:rFonts w:hint="default" w:ascii="Times New Roman" w:hAnsi="Times New Roman" w:eastAsia="仿宋GB2312" w:cs="Times New Roman"/>
          <w:b w:val="0"/>
          <w:bCs w:val="0"/>
          <w:sz w:val="32"/>
          <w:szCs w:val="32"/>
        </w:rPr>
        <w:t>贵州</w:t>
      </w:r>
      <w:r>
        <w:rPr>
          <w:rFonts w:hint="default" w:ascii="Times New Roman" w:hAnsi="Times New Roman" w:eastAsia="仿宋GB2312" w:cs="Times New Roman"/>
          <w:b w:val="0"/>
          <w:bCs w:val="0"/>
          <w:sz w:val="32"/>
          <w:szCs w:val="32"/>
          <w:lang w:eastAsia="zh-CN"/>
        </w:rPr>
        <w:t>电子科技职业学院正德楼一楼报告厅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仿宋GB2312" w:cs="Times New Roman"/>
          <w:sz w:val="32"/>
          <w:szCs w:val="32"/>
          <w:lang w:val="en-US" w:eastAsia="zh-CN"/>
        </w:rPr>
        <w:t>导航</w:t>
      </w:r>
      <w:r>
        <w:rPr>
          <w:rFonts w:hint="default" w:ascii="Times New Roman" w:hAnsi="Times New Roman" w:eastAsia="仿宋GB2312" w:cs="Times New Roman"/>
          <w:sz w:val="32"/>
          <w:szCs w:val="32"/>
          <w:lang w:eastAsia="zh-CN"/>
        </w:rPr>
        <w:t>地址：</w:t>
      </w:r>
      <w:r>
        <w:rPr>
          <w:rFonts w:hint="default" w:ascii="Times New Roman" w:hAnsi="Times New Roman" w:eastAsia="仿宋_GB2312" w:cs="Times New Roman"/>
          <w:b w:val="0"/>
          <w:bCs w:val="0"/>
          <w:sz w:val="32"/>
          <w:szCs w:val="32"/>
          <w:lang w:eastAsia="zh-CN"/>
        </w:rPr>
        <w:t>贵州电子科技职业学院北门（贵州省安顺市平坝区天玑路）。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三、组织机构</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 xml:space="preserve">（一）主办单位  </w:t>
      </w:r>
    </w:p>
    <w:p>
      <w:pPr>
        <w:pageBreakBefore w:val="0"/>
        <w:widowControl w:val="0"/>
        <w:kinsoku/>
        <w:overflowPunct/>
        <w:autoSpaceDE/>
        <w:autoSpaceDN/>
        <w:bidi w:val="0"/>
        <w:spacing w:line="560" w:lineRule="exact"/>
        <w:ind w:firstLine="640" w:firstLineChars="200"/>
        <w:textAlignment w:val="auto"/>
        <w:rPr>
          <w:rFonts w:hint="default" w:ascii="Times New Roman" w:hAnsi="Times New Roman" w:eastAsia="仿宋GB2312" w:cs="Times New Roman"/>
          <w:sz w:val="32"/>
          <w:szCs w:val="32"/>
          <w:highlight w:val="none"/>
        </w:rPr>
      </w:pPr>
      <w:r>
        <w:rPr>
          <w:rFonts w:hint="default" w:ascii="Times New Roman" w:hAnsi="Times New Roman" w:eastAsia="仿宋GB2312" w:cs="Times New Roman"/>
          <w:sz w:val="32"/>
          <w:szCs w:val="32"/>
          <w:highlight w:val="none"/>
        </w:rPr>
        <w:t>贵州省</w:t>
      </w:r>
      <w:r>
        <w:rPr>
          <w:rFonts w:hint="default" w:ascii="Times New Roman" w:hAnsi="Times New Roman" w:eastAsia="仿宋GB2312" w:cs="Times New Roman"/>
          <w:sz w:val="32"/>
          <w:szCs w:val="32"/>
          <w:highlight w:val="none"/>
          <w:lang w:val="en-US" w:eastAsia="zh-CN"/>
        </w:rPr>
        <w:t>科学技术</w:t>
      </w:r>
      <w:r>
        <w:rPr>
          <w:rFonts w:hint="default" w:ascii="Times New Roman" w:hAnsi="Times New Roman" w:eastAsia="仿宋GB2312" w:cs="Times New Roman"/>
          <w:sz w:val="32"/>
          <w:szCs w:val="32"/>
          <w:highlight w:val="none"/>
        </w:rPr>
        <w:t>厅</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（二）协办单位</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贵阳国家高新技术产业开发区管理委员会</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贵阳市科学技术局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遵义市科技与大数据局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黔东南州科学技术局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黔南州科学技术局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黔东南高新技术产业开发区管理委员会</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黔南高新技术产业开发区管理委员会</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贵阳市少年儿童图书馆</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（三）承办单位</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贵州省科技创新中心有限责任公司</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贵安新区大数据和科技创新局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贵阳国家高新技术产业开发区科技创新局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贵阳高新技术创业服务中心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贵阳市观山湖区科学技术局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贵阳市花溪区科学技术局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贵阳市南明区科学技术局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贵州双龙航空港经济区产业发展局</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（四）支持单位（排名不分先后）</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贵州证券业协会</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贵州省创业股权投资协会</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贵州股权交易中心有限公司</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上海证券交易所资本市场服务贵州基地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深圳证券交易所贵州基地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北京证券交易所贵州服务基地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天津联创科技发展有限公司</w:t>
      </w:r>
      <w:r>
        <w:rPr>
          <w:rFonts w:hint="default" w:ascii="Times New Roman" w:hAnsi="Times New Roman" w:eastAsia="仿宋_GB2312" w:cs="Times New Roman"/>
          <w:color w:val="000000"/>
          <w:sz w:val="32"/>
          <w:szCs w:val="32"/>
          <w:lang w:eastAsia="zh-CN"/>
        </w:rPr>
        <w:t>、遵义市汇川区生产力促进中心有限责任公司、贵州电子科技职业学院、</w:t>
      </w:r>
      <w:r>
        <w:rPr>
          <w:rFonts w:hint="default" w:ascii="Times New Roman" w:hAnsi="Times New Roman" w:eastAsia="仿宋_GB2312" w:cs="Times New Roman"/>
          <w:color w:val="000000"/>
          <w:sz w:val="32"/>
          <w:szCs w:val="32"/>
        </w:rPr>
        <w:t>贵州大学国家大学科技园</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贵阳学院大学科技园</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贵州科学城科技企业孵化器</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航创龙翔科技企业孵化器</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贵阳学院-双龙科技企业孵化器</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贵阳博雅众创空间</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创新猫</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贵阳创客空间</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佛黔众创空间</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val="en-US" w:eastAsia="zh-CN"/>
        </w:rPr>
        <w:t>（五）执行单位（排名不分先后）</w:t>
      </w:r>
    </w:p>
    <w:p>
      <w:pPr>
        <w:keepNext w:val="0"/>
        <w:keepLines w:val="0"/>
        <w:pageBreakBefore w:val="0"/>
        <w:widowControl w:val="0"/>
        <w:kinsoku/>
        <w:wordWrap/>
        <w:overflowPunct/>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贵州省技术转移中心有限责任公司</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贵州科学城管理有限责任公司</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贵州创客科技孵化器有限公司</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贵州贵漂科技（集团）有限公司</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贵州航创龙翔科技孵化有限公司</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贵阳博新雅信科技发展有限公司</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遵义市生产力促进中心、</w:t>
      </w:r>
      <w:r>
        <w:rPr>
          <w:rFonts w:hint="default" w:ascii="Times New Roman" w:hAnsi="Times New Roman" w:eastAsia="仿宋_GB2312" w:cs="Times New Roman"/>
          <w:color w:val="000000"/>
          <w:sz w:val="32"/>
          <w:szCs w:val="32"/>
        </w:rPr>
        <w:t>佛山火炬创新创业园有限公司</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贵州黔旭科技产业投资有限责任公司</w:t>
      </w:r>
      <w:r>
        <w:rPr>
          <w:rFonts w:hint="default" w:ascii="Times New Roman" w:hAnsi="Times New Roman" w:eastAsia="仿宋_GB2312" w:cs="Times New Roman"/>
          <w:color w:val="000000"/>
          <w:sz w:val="32"/>
          <w:szCs w:val="32"/>
          <w:lang w:eastAsia="zh-CN"/>
        </w:rPr>
        <w:t>。</w:t>
      </w:r>
    </w:p>
    <w:p>
      <w:pPr>
        <w:pageBreakBefore w:val="0"/>
        <w:widowControl w:val="0"/>
        <w:kinsoku/>
        <w:overflowPunct/>
        <w:autoSpaceDE/>
        <w:autoSpaceDN/>
        <w:bidi w:val="0"/>
        <w:spacing w:line="560" w:lineRule="exact"/>
        <w:ind w:firstLine="56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lang w:val="en-US" w:eastAsia="zh-CN"/>
        </w:rPr>
        <w:t>赛事</w:t>
      </w:r>
      <w:r>
        <w:rPr>
          <w:rFonts w:hint="default" w:ascii="Times New Roman" w:hAnsi="Times New Roman" w:eastAsia="黑体" w:cs="Times New Roman"/>
          <w:sz w:val="32"/>
          <w:szCs w:val="32"/>
        </w:rPr>
        <w:t>安排</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（一）活动流程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GB2312" w:cs="Times New Roman"/>
          <w:sz w:val="32"/>
          <w:szCs w:val="32"/>
        </w:rPr>
      </w:pPr>
      <w:r>
        <w:rPr>
          <w:rFonts w:hint="default" w:ascii="Times New Roman" w:hAnsi="Times New Roman" w:eastAsia="仿宋GB2312" w:cs="Times New Roman"/>
          <w:sz w:val="32"/>
          <w:szCs w:val="32"/>
        </w:rPr>
        <w:t>08:30—08:45   参</w:t>
      </w:r>
      <w:r>
        <w:rPr>
          <w:rFonts w:hint="default" w:ascii="Times New Roman" w:hAnsi="Times New Roman" w:eastAsia="仿宋GB2312" w:cs="Times New Roman"/>
          <w:sz w:val="32"/>
          <w:szCs w:val="32"/>
          <w:lang w:eastAsia="zh-CN"/>
        </w:rPr>
        <w:t>会人员</w:t>
      </w:r>
      <w:r>
        <w:rPr>
          <w:rFonts w:hint="default" w:ascii="Times New Roman" w:hAnsi="Times New Roman" w:eastAsia="仿宋GB2312" w:cs="Times New Roman"/>
          <w:sz w:val="32"/>
          <w:szCs w:val="32"/>
        </w:rPr>
        <w:t>签到入场</w:t>
      </w:r>
      <w:r>
        <w:rPr>
          <w:rFonts w:hint="default" w:ascii="Times New Roman" w:hAnsi="Times New Roman" w:eastAsia="仿宋GB2312" w:cs="Times New Roman"/>
          <w:sz w:val="32"/>
          <w:szCs w:val="32"/>
          <w:lang w:eastAsia="zh-CN"/>
        </w:rPr>
        <w:t>；参赛企业</w:t>
      </w:r>
      <w:r>
        <w:rPr>
          <w:rFonts w:hint="default" w:ascii="Times New Roman" w:hAnsi="Times New Roman" w:eastAsia="仿宋GB2312" w:cs="Times New Roman"/>
          <w:sz w:val="32"/>
          <w:szCs w:val="32"/>
        </w:rPr>
        <w:t>递交商业计划书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GB2312" w:cs="Times New Roman"/>
          <w:sz w:val="32"/>
          <w:szCs w:val="32"/>
          <w:lang w:eastAsia="zh-CN"/>
        </w:rPr>
      </w:pPr>
      <w:r>
        <w:rPr>
          <w:rFonts w:hint="default" w:ascii="Times New Roman" w:hAnsi="Times New Roman" w:eastAsia="仿宋GB2312" w:cs="Times New Roman"/>
          <w:sz w:val="32"/>
          <w:szCs w:val="32"/>
        </w:rPr>
        <w:t xml:space="preserve">08:45—09:00   </w:t>
      </w:r>
      <w:r>
        <w:rPr>
          <w:rFonts w:hint="default" w:ascii="Times New Roman" w:hAnsi="Times New Roman" w:eastAsia="仿宋GB2312" w:cs="Times New Roman"/>
          <w:sz w:val="32"/>
          <w:szCs w:val="32"/>
          <w:lang w:eastAsia="zh-CN"/>
        </w:rPr>
        <w:t>参赛企业</w:t>
      </w:r>
      <w:r>
        <w:rPr>
          <w:rFonts w:hint="default" w:ascii="Times New Roman" w:hAnsi="Times New Roman" w:eastAsia="仿宋GB2312" w:cs="Times New Roman"/>
          <w:sz w:val="32"/>
          <w:szCs w:val="32"/>
        </w:rPr>
        <w:t>抽签</w:t>
      </w:r>
      <w:r>
        <w:rPr>
          <w:rFonts w:hint="default" w:ascii="Times New Roman" w:hAnsi="Times New Roman" w:eastAsia="仿宋GB2312" w:cs="Times New Roman"/>
          <w:sz w:val="32"/>
          <w:szCs w:val="32"/>
          <w:lang w:eastAsia="zh-CN"/>
        </w:rPr>
        <w:t>（初创企业组、成长企业组）</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仿宋GB2312" w:cs="Times New Roman"/>
          <w:sz w:val="32"/>
          <w:szCs w:val="32"/>
          <w:lang w:val="en-US" w:eastAsia="zh-CN"/>
        </w:rPr>
      </w:pPr>
      <w:r>
        <w:rPr>
          <w:rFonts w:hint="default" w:ascii="Times New Roman" w:hAnsi="Times New Roman" w:eastAsia="仿宋GB2312" w:cs="Times New Roman"/>
          <w:b/>
          <w:bCs/>
          <w:sz w:val="32"/>
          <w:szCs w:val="32"/>
          <w:lang w:val="en-US" w:eastAsia="zh-CN"/>
        </w:rPr>
        <w:t>第一阶段  比赛（12家）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09:00—09:05   介绍</w:t>
      </w:r>
      <w:r>
        <w:rPr>
          <w:rFonts w:hint="default" w:ascii="Times New Roman" w:hAnsi="Times New Roman" w:eastAsia="仿宋_GB2312" w:cs="Times New Roman"/>
          <w:sz w:val="32"/>
          <w:szCs w:val="32"/>
          <w:lang w:eastAsia="zh-CN"/>
        </w:rPr>
        <w:t>与会</w:t>
      </w:r>
      <w:r>
        <w:rPr>
          <w:rFonts w:hint="default" w:ascii="Times New Roman" w:hAnsi="Times New Roman" w:eastAsia="仿宋_GB2312" w:cs="Times New Roman"/>
          <w:sz w:val="32"/>
          <w:szCs w:val="32"/>
        </w:rPr>
        <w:t>领导、嘉宾、评委</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09:05—09:10   省科技厅领导讲话</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09:10—09:</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 xml:space="preserve">   宣读比赛规则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09:</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00</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按照抽签顺序比赛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3家初创</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10:00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中场休息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按照抽签顺序比赛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6家初创</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按照抽签顺序比赛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3家成长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12:10—13:10   午餐</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仿宋GB2312" w:cs="Times New Roman"/>
          <w:sz w:val="32"/>
          <w:szCs w:val="32"/>
        </w:rPr>
      </w:pPr>
      <w:r>
        <w:rPr>
          <w:rFonts w:hint="default" w:ascii="Times New Roman" w:hAnsi="Times New Roman" w:eastAsia="仿宋GB2312" w:cs="Times New Roman"/>
          <w:b/>
          <w:bCs/>
          <w:sz w:val="32"/>
          <w:szCs w:val="32"/>
          <w:lang w:val="en-US" w:eastAsia="zh-CN"/>
        </w:rPr>
        <w:t>第二阶段  比赛（18家）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GB2312" w:cs="Times New Roman"/>
          <w:sz w:val="32"/>
          <w:szCs w:val="32"/>
        </w:rPr>
      </w:pPr>
      <w:r>
        <w:rPr>
          <w:rFonts w:hint="default" w:ascii="Times New Roman" w:hAnsi="Times New Roman" w:eastAsia="仿宋GB2312" w:cs="Times New Roman"/>
          <w:sz w:val="32"/>
          <w:szCs w:val="32"/>
        </w:rPr>
        <w:t>12:40—13:</w:t>
      </w:r>
      <w:r>
        <w:rPr>
          <w:rFonts w:hint="default" w:ascii="Times New Roman" w:hAnsi="Times New Roman" w:eastAsia="仿宋GB2312" w:cs="Times New Roman"/>
          <w:sz w:val="32"/>
          <w:szCs w:val="32"/>
          <w:lang w:val="en-US" w:eastAsia="zh-CN"/>
        </w:rPr>
        <w:t>10</w:t>
      </w:r>
      <w:r>
        <w:rPr>
          <w:rFonts w:hint="default" w:ascii="Times New Roman" w:hAnsi="Times New Roman" w:eastAsia="仿宋GB2312" w:cs="Times New Roman"/>
          <w:sz w:val="32"/>
          <w:szCs w:val="32"/>
        </w:rPr>
        <w:t xml:space="preserve">   参赛企业签到入场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GB2312" w:cs="Times New Roman"/>
          <w:sz w:val="32"/>
          <w:szCs w:val="32"/>
        </w:rPr>
      </w:pPr>
      <w:r>
        <w:rPr>
          <w:rFonts w:hint="default" w:ascii="Times New Roman" w:hAnsi="Times New Roman" w:eastAsia="仿宋GB2312" w:cs="Times New Roman"/>
          <w:sz w:val="32"/>
          <w:szCs w:val="32"/>
        </w:rPr>
        <w:t>13:10—13:</w:t>
      </w:r>
      <w:r>
        <w:rPr>
          <w:rFonts w:hint="default" w:ascii="Times New Roman" w:hAnsi="Times New Roman" w:eastAsia="仿宋GB2312" w:cs="Times New Roman"/>
          <w:sz w:val="32"/>
          <w:szCs w:val="32"/>
          <w:lang w:val="en-US" w:eastAsia="zh-CN"/>
        </w:rPr>
        <w:t>15</w:t>
      </w:r>
      <w:r>
        <w:rPr>
          <w:rFonts w:hint="default" w:ascii="Times New Roman" w:hAnsi="Times New Roman" w:eastAsia="仿宋GB2312" w:cs="Times New Roman"/>
          <w:sz w:val="32"/>
          <w:szCs w:val="32"/>
        </w:rPr>
        <w:t xml:space="preserve">   宣读比赛规则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GB2312" w:cs="Times New Roman"/>
          <w:sz w:val="32"/>
          <w:szCs w:val="32"/>
          <w:lang w:eastAsia="zh-CN"/>
        </w:rPr>
      </w:pPr>
      <w:r>
        <w:rPr>
          <w:rFonts w:hint="default" w:ascii="Times New Roman" w:hAnsi="Times New Roman" w:eastAsia="仿宋GB2312" w:cs="Times New Roman"/>
          <w:sz w:val="32"/>
          <w:szCs w:val="32"/>
        </w:rPr>
        <w:t>13:</w:t>
      </w:r>
      <w:r>
        <w:rPr>
          <w:rFonts w:hint="default" w:ascii="Times New Roman" w:hAnsi="Times New Roman" w:eastAsia="仿宋GB2312" w:cs="Times New Roman"/>
          <w:sz w:val="32"/>
          <w:szCs w:val="32"/>
          <w:lang w:val="en-US" w:eastAsia="zh-CN"/>
        </w:rPr>
        <w:t>15</w:t>
      </w:r>
      <w:r>
        <w:rPr>
          <w:rFonts w:hint="default" w:ascii="Times New Roman" w:hAnsi="Times New Roman" w:eastAsia="仿宋GB2312" w:cs="Times New Roman"/>
          <w:sz w:val="32"/>
          <w:szCs w:val="32"/>
        </w:rPr>
        <w:t>—1</w:t>
      </w:r>
      <w:r>
        <w:rPr>
          <w:rFonts w:hint="default" w:ascii="Times New Roman" w:hAnsi="Times New Roman" w:eastAsia="仿宋GB2312" w:cs="Times New Roman"/>
          <w:sz w:val="32"/>
          <w:szCs w:val="32"/>
          <w:lang w:val="en-US" w:eastAsia="zh-CN"/>
        </w:rPr>
        <w:t>5</w:t>
      </w:r>
      <w:r>
        <w:rPr>
          <w:rFonts w:hint="default" w:ascii="Times New Roman" w:hAnsi="Times New Roman" w:eastAsia="仿宋GB2312" w:cs="Times New Roman"/>
          <w:sz w:val="32"/>
          <w:szCs w:val="32"/>
        </w:rPr>
        <w:t>:</w:t>
      </w:r>
      <w:r>
        <w:rPr>
          <w:rFonts w:hint="default" w:ascii="Times New Roman" w:hAnsi="Times New Roman" w:eastAsia="仿宋GB2312" w:cs="Times New Roman"/>
          <w:sz w:val="32"/>
          <w:szCs w:val="32"/>
          <w:lang w:val="en-US" w:eastAsia="zh-CN"/>
        </w:rPr>
        <w:t>15</w:t>
      </w:r>
      <w:r>
        <w:rPr>
          <w:rFonts w:hint="default" w:ascii="Times New Roman" w:hAnsi="Times New Roman" w:eastAsia="仿宋GB2312" w:cs="Times New Roman"/>
          <w:sz w:val="32"/>
          <w:szCs w:val="32"/>
        </w:rPr>
        <w:t xml:space="preserve">   按照抽签顺序比赛</w:t>
      </w:r>
      <w:r>
        <w:rPr>
          <w:rFonts w:hint="default" w:ascii="Times New Roman" w:hAnsi="Times New Roman" w:eastAsia="仿宋GB2312" w:cs="Times New Roman"/>
          <w:sz w:val="32"/>
          <w:szCs w:val="32"/>
          <w:lang w:eastAsia="zh-CN"/>
        </w:rPr>
        <w:t>（</w:t>
      </w:r>
      <w:r>
        <w:rPr>
          <w:rFonts w:hint="default" w:ascii="Times New Roman" w:hAnsi="Times New Roman" w:eastAsia="仿宋GB2312" w:cs="Times New Roman"/>
          <w:sz w:val="32"/>
          <w:szCs w:val="32"/>
          <w:lang w:val="en-US" w:eastAsia="zh-CN"/>
        </w:rPr>
        <w:t>9家成长</w:t>
      </w:r>
      <w:r>
        <w:rPr>
          <w:rFonts w:hint="default" w:ascii="Times New Roman" w:hAnsi="Times New Roman" w:eastAsia="仿宋GB2312" w:cs="Times New Roman"/>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GB2312" w:cs="Times New Roman"/>
          <w:sz w:val="32"/>
          <w:szCs w:val="32"/>
          <w:lang w:val="en-US" w:eastAsia="zh-CN"/>
        </w:rPr>
      </w:pPr>
      <w:r>
        <w:rPr>
          <w:rFonts w:hint="default" w:ascii="Times New Roman" w:hAnsi="Times New Roman" w:eastAsia="仿宋GB2312" w:cs="Times New Roman"/>
          <w:sz w:val="32"/>
          <w:szCs w:val="32"/>
        </w:rPr>
        <w:t>1</w:t>
      </w:r>
      <w:r>
        <w:rPr>
          <w:rFonts w:hint="default" w:ascii="Times New Roman" w:hAnsi="Times New Roman" w:eastAsia="仿宋GB2312" w:cs="Times New Roman"/>
          <w:sz w:val="32"/>
          <w:szCs w:val="32"/>
          <w:lang w:val="en-US" w:eastAsia="zh-CN"/>
        </w:rPr>
        <w:t>5</w:t>
      </w:r>
      <w:r>
        <w:rPr>
          <w:rFonts w:hint="default" w:ascii="Times New Roman" w:hAnsi="Times New Roman" w:eastAsia="仿宋GB2312" w:cs="Times New Roman"/>
          <w:sz w:val="32"/>
          <w:szCs w:val="32"/>
        </w:rPr>
        <w:t>:</w:t>
      </w:r>
      <w:r>
        <w:rPr>
          <w:rFonts w:hint="default" w:ascii="Times New Roman" w:hAnsi="Times New Roman" w:eastAsia="仿宋GB2312" w:cs="Times New Roman"/>
          <w:sz w:val="32"/>
          <w:szCs w:val="32"/>
          <w:lang w:val="en-US" w:eastAsia="zh-CN"/>
        </w:rPr>
        <w:t>15</w:t>
      </w:r>
      <w:r>
        <w:rPr>
          <w:rFonts w:hint="default" w:ascii="Times New Roman" w:hAnsi="Times New Roman" w:eastAsia="仿宋GB2312" w:cs="Times New Roman"/>
          <w:sz w:val="32"/>
          <w:szCs w:val="32"/>
        </w:rPr>
        <w:t>—1</w:t>
      </w:r>
      <w:r>
        <w:rPr>
          <w:rFonts w:hint="default" w:ascii="Times New Roman" w:hAnsi="Times New Roman" w:eastAsia="仿宋GB2312" w:cs="Times New Roman"/>
          <w:sz w:val="32"/>
          <w:szCs w:val="32"/>
          <w:lang w:val="en-US" w:eastAsia="zh-CN"/>
        </w:rPr>
        <w:t>5</w:t>
      </w:r>
      <w:r>
        <w:rPr>
          <w:rFonts w:hint="default" w:ascii="Times New Roman" w:hAnsi="Times New Roman" w:eastAsia="仿宋GB2312" w:cs="Times New Roman"/>
          <w:sz w:val="32"/>
          <w:szCs w:val="32"/>
        </w:rPr>
        <w:t>:</w:t>
      </w:r>
      <w:r>
        <w:rPr>
          <w:rFonts w:hint="default" w:ascii="Times New Roman" w:hAnsi="Times New Roman" w:eastAsia="仿宋GB2312" w:cs="Times New Roman"/>
          <w:sz w:val="32"/>
          <w:szCs w:val="32"/>
          <w:lang w:val="en-US" w:eastAsia="zh-CN"/>
        </w:rPr>
        <w:t>25</w:t>
      </w:r>
      <w:r>
        <w:rPr>
          <w:rFonts w:hint="default" w:ascii="Times New Roman" w:hAnsi="Times New Roman" w:eastAsia="仿宋GB2312" w:cs="Times New Roman"/>
          <w:sz w:val="32"/>
          <w:szCs w:val="32"/>
        </w:rPr>
        <w:t xml:space="preserve">   </w:t>
      </w:r>
      <w:r>
        <w:rPr>
          <w:rFonts w:hint="default" w:ascii="Times New Roman" w:hAnsi="Times New Roman" w:eastAsia="仿宋GB2312" w:cs="Times New Roman"/>
          <w:sz w:val="32"/>
          <w:szCs w:val="32"/>
          <w:lang w:val="en-US" w:eastAsia="zh-CN"/>
        </w:rPr>
        <w:t>中场休息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GB2312" w:cs="Times New Roman"/>
          <w:sz w:val="32"/>
          <w:szCs w:val="32"/>
          <w:lang w:eastAsia="zh-CN"/>
        </w:rPr>
      </w:pPr>
      <w:r>
        <w:rPr>
          <w:rFonts w:hint="default" w:ascii="Times New Roman" w:hAnsi="Times New Roman" w:eastAsia="仿宋GB2312" w:cs="Times New Roman"/>
          <w:sz w:val="32"/>
          <w:szCs w:val="32"/>
        </w:rPr>
        <w:t>1</w:t>
      </w:r>
      <w:r>
        <w:rPr>
          <w:rFonts w:hint="default" w:ascii="Times New Roman" w:hAnsi="Times New Roman" w:eastAsia="仿宋GB2312" w:cs="Times New Roman"/>
          <w:sz w:val="32"/>
          <w:szCs w:val="32"/>
          <w:lang w:val="en-US" w:eastAsia="zh-CN"/>
        </w:rPr>
        <w:t>5</w:t>
      </w:r>
      <w:r>
        <w:rPr>
          <w:rFonts w:hint="default" w:ascii="Times New Roman" w:hAnsi="Times New Roman" w:eastAsia="仿宋GB2312" w:cs="Times New Roman"/>
          <w:sz w:val="32"/>
          <w:szCs w:val="32"/>
        </w:rPr>
        <w:t>:</w:t>
      </w:r>
      <w:r>
        <w:rPr>
          <w:rFonts w:hint="default" w:ascii="Times New Roman" w:hAnsi="Times New Roman" w:eastAsia="仿宋GB2312" w:cs="Times New Roman"/>
          <w:sz w:val="32"/>
          <w:szCs w:val="32"/>
          <w:lang w:val="en-US" w:eastAsia="zh-CN"/>
        </w:rPr>
        <w:t>25</w:t>
      </w:r>
      <w:r>
        <w:rPr>
          <w:rFonts w:hint="default" w:ascii="Times New Roman" w:hAnsi="Times New Roman" w:eastAsia="仿宋GB2312" w:cs="Times New Roman"/>
          <w:sz w:val="32"/>
          <w:szCs w:val="32"/>
        </w:rPr>
        <w:t>—1</w:t>
      </w:r>
      <w:r>
        <w:rPr>
          <w:rFonts w:hint="default" w:ascii="Times New Roman" w:hAnsi="Times New Roman" w:eastAsia="仿宋GB2312" w:cs="Times New Roman"/>
          <w:sz w:val="32"/>
          <w:szCs w:val="32"/>
          <w:lang w:val="en-US" w:eastAsia="zh-CN"/>
        </w:rPr>
        <w:t>7</w:t>
      </w:r>
      <w:r>
        <w:rPr>
          <w:rFonts w:hint="default" w:ascii="Times New Roman" w:hAnsi="Times New Roman" w:eastAsia="仿宋GB2312" w:cs="Times New Roman"/>
          <w:sz w:val="32"/>
          <w:szCs w:val="32"/>
        </w:rPr>
        <w:t>:</w:t>
      </w:r>
      <w:r>
        <w:rPr>
          <w:rFonts w:hint="default" w:ascii="Times New Roman" w:hAnsi="Times New Roman" w:eastAsia="仿宋GB2312" w:cs="Times New Roman"/>
          <w:sz w:val="32"/>
          <w:szCs w:val="32"/>
          <w:lang w:val="en-US" w:eastAsia="zh-CN"/>
        </w:rPr>
        <w:t>25</w:t>
      </w:r>
      <w:r>
        <w:rPr>
          <w:rFonts w:hint="default" w:ascii="Times New Roman" w:hAnsi="Times New Roman" w:eastAsia="仿宋GB2312" w:cs="Times New Roman"/>
          <w:sz w:val="32"/>
          <w:szCs w:val="32"/>
        </w:rPr>
        <w:t xml:space="preserve">   按照抽签顺序比赛</w:t>
      </w:r>
      <w:r>
        <w:rPr>
          <w:rFonts w:hint="default" w:ascii="Times New Roman" w:hAnsi="Times New Roman" w:eastAsia="仿宋GB2312" w:cs="Times New Roman"/>
          <w:sz w:val="32"/>
          <w:szCs w:val="32"/>
          <w:lang w:eastAsia="zh-CN"/>
        </w:rPr>
        <w:t>（</w:t>
      </w:r>
      <w:r>
        <w:rPr>
          <w:rFonts w:hint="default" w:ascii="Times New Roman" w:hAnsi="Times New Roman" w:eastAsia="仿宋GB2312" w:cs="Times New Roman"/>
          <w:sz w:val="32"/>
          <w:szCs w:val="32"/>
          <w:lang w:val="en-US" w:eastAsia="zh-CN"/>
        </w:rPr>
        <w:t>9家成长</w:t>
      </w:r>
      <w:r>
        <w:rPr>
          <w:rFonts w:hint="default" w:ascii="Times New Roman" w:hAnsi="Times New Roman" w:eastAsia="仿宋GB2312" w:cs="Times New Roman"/>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GB2312" w:cs="Times New Roman"/>
          <w:sz w:val="32"/>
          <w:szCs w:val="32"/>
        </w:rPr>
      </w:pPr>
      <w:r>
        <w:rPr>
          <w:rFonts w:hint="default" w:ascii="Times New Roman" w:hAnsi="Times New Roman" w:eastAsia="仿宋GB2312" w:cs="Times New Roman"/>
          <w:sz w:val="32"/>
          <w:szCs w:val="32"/>
        </w:rPr>
        <w:t>17:</w:t>
      </w:r>
      <w:r>
        <w:rPr>
          <w:rFonts w:hint="default" w:ascii="Times New Roman" w:hAnsi="Times New Roman" w:eastAsia="仿宋GB2312" w:cs="Times New Roman"/>
          <w:sz w:val="32"/>
          <w:szCs w:val="32"/>
          <w:lang w:val="en-US" w:eastAsia="zh-CN"/>
        </w:rPr>
        <w:t>25</w:t>
      </w:r>
      <w:r>
        <w:rPr>
          <w:rFonts w:hint="default" w:ascii="Times New Roman" w:hAnsi="Times New Roman" w:eastAsia="仿宋GB2312" w:cs="Times New Roman"/>
          <w:sz w:val="32"/>
          <w:szCs w:val="32"/>
        </w:rPr>
        <w:t>—</w:t>
      </w:r>
      <w:r>
        <w:rPr>
          <w:rFonts w:hint="default" w:ascii="Times New Roman" w:hAnsi="Times New Roman" w:eastAsia="仿宋GB2312" w:cs="Times New Roman"/>
          <w:sz w:val="32"/>
          <w:szCs w:val="32"/>
          <w:lang w:val="en-US" w:eastAsia="zh-CN"/>
        </w:rPr>
        <w:t>18</w:t>
      </w:r>
      <w:r>
        <w:rPr>
          <w:rFonts w:hint="default" w:ascii="Times New Roman" w:hAnsi="Times New Roman" w:eastAsia="仿宋GB2312" w:cs="Times New Roman"/>
          <w:sz w:val="32"/>
          <w:szCs w:val="32"/>
        </w:rPr>
        <w:t>:</w:t>
      </w:r>
      <w:r>
        <w:rPr>
          <w:rFonts w:hint="default" w:ascii="Times New Roman" w:hAnsi="Times New Roman" w:eastAsia="仿宋GB2312" w:cs="Times New Roman"/>
          <w:sz w:val="32"/>
          <w:szCs w:val="32"/>
          <w:lang w:val="en-US" w:eastAsia="zh-CN"/>
        </w:rPr>
        <w:t>40</w:t>
      </w:r>
      <w:r>
        <w:rPr>
          <w:rFonts w:hint="default" w:ascii="Times New Roman" w:hAnsi="Times New Roman" w:eastAsia="仿宋GB2312" w:cs="Times New Roman"/>
          <w:sz w:val="32"/>
          <w:szCs w:val="32"/>
        </w:rPr>
        <w:t xml:space="preserve">   晚餐</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仿宋GB2312" w:cs="Times New Roman"/>
          <w:sz w:val="32"/>
          <w:szCs w:val="32"/>
        </w:rPr>
      </w:pPr>
      <w:r>
        <w:rPr>
          <w:rFonts w:hint="default" w:ascii="Times New Roman" w:hAnsi="Times New Roman" w:eastAsia="仿宋GB2312" w:cs="Times New Roman"/>
          <w:b/>
          <w:bCs/>
          <w:sz w:val="32"/>
          <w:szCs w:val="32"/>
          <w:lang w:eastAsia="zh-CN"/>
        </w:rPr>
        <w:t>第三阶段</w:t>
      </w:r>
      <w:r>
        <w:rPr>
          <w:rFonts w:hint="default" w:ascii="Times New Roman" w:hAnsi="Times New Roman" w:eastAsia="仿宋GB2312" w:cs="Times New Roman"/>
          <w:b/>
          <w:bCs/>
          <w:sz w:val="32"/>
          <w:szCs w:val="32"/>
        </w:rPr>
        <w:t xml:space="preserve">  决赛</w:t>
      </w:r>
      <w:r>
        <w:rPr>
          <w:rFonts w:hint="default" w:ascii="Times New Roman" w:hAnsi="Times New Roman" w:eastAsia="仿宋GB2312" w:cs="Times New Roman"/>
          <w:b/>
          <w:bCs/>
          <w:sz w:val="32"/>
          <w:szCs w:val="32"/>
          <w:lang w:eastAsia="zh-CN"/>
        </w:rPr>
        <w:t>成绩发</w:t>
      </w:r>
      <w:r>
        <w:rPr>
          <w:rFonts w:hint="default" w:ascii="Times New Roman" w:hAnsi="Times New Roman" w:eastAsia="仿宋GB2312" w:cs="Times New Roman"/>
          <w:b/>
          <w:bCs/>
          <w:sz w:val="32"/>
          <w:szCs w:val="32"/>
        </w:rPr>
        <w:t>布暨颁奖仪式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40</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00</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所有参会人员签到入场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00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05</w:t>
      </w:r>
      <w:r>
        <w:rPr>
          <w:rFonts w:hint="default" w:ascii="Times New Roman" w:hAnsi="Times New Roman" w:eastAsia="仿宋_GB2312" w:cs="Times New Roman"/>
          <w:sz w:val="32"/>
          <w:szCs w:val="32"/>
        </w:rPr>
        <w:t xml:space="preserve">   介绍与会领导</w:t>
      </w:r>
      <w:r>
        <w:rPr>
          <w:rFonts w:hint="default" w:ascii="Times New Roman" w:hAnsi="Times New Roman" w:eastAsia="仿宋_GB2312" w:cs="Times New Roman"/>
          <w:sz w:val="32"/>
          <w:szCs w:val="32"/>
          <w:lang w:eastAsia="zh-CN"/>
        </w:rPr>
        <w:t>、嘉宾</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05</w:t>
      </w:r>
      <w:r>
        <w:rPr>
          <w:rFonts w:hint="default" w:ascii="Times New Roman" w:hAnsi="Times New Roman" w:eastAsia="仿宋_GB2312" w:cs="Times New Roman"/>
          <w:sz w:val="32"/>
          <w:szCs w:val="32"/>
        </w:rPr>
        <w:t>—19:</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发布决赛成绩及获奖企业名单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—19:</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 xml:space="preserve">   公证人员宣读公证词</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—19:</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 xml:space="preserve">   大赛优秀组织单位授牌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—19:35   颁奖</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19:35—19:40   </w:t>
      </w:r>
      <w:r>
        <w:rPr>
          <w:rFonts w:hint="default" w:ascii="Times New Roman" w:hAnsi="Times New Roman" w:eastAsia="仿宋_GB2312" w:cs="Times New Roman"/>
          <w:sz w:val="32"/>
          <w:szCs w:val="32"/>
          <w:lang w:eastAsia="zh-CN"/>
        </w:rPr>
        <w:t>全体</w:t>
      </w:r>
      <w:r>
        <w:rPr>
          <w:rFonts w:hint="default" w:ascii="Times New Roman" w:hAnsi="Times New Roman" w:eastAsia="仿宋_GB2312" w:cs="Times New Roman"/>
          <w:sz w:val="32"/>
          <w:szCs w:val="32"/>
        </w:rPr>
        <w:t>合影</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19:40          会议结束</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（二）比赛流程</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GB2312" w:cs="Times New Roman"/>
          <w:color w:val="auto"/>
          <w:sz w:val="32"/>
          <w:szCs w:val="32"/>
          <w:lang w:eastAsia="zh-CN"/>
        </w:rPr>
      </w:pPr>
      <w:r>
        <w:rPr>
          <w:rFonts w:hint="default" w:ascii="Times New Roman" w:hAnsi="Times New Roman" w:eastAsia="仿宋GB2312" w:cs="Times New Roman"/>
          <w:color w:val="auto"/>
          <w:sz w:val="32"/>
          <w:szCs w:val="32"/>
          <w:lang w:val="en-US" w:eastAsia="zh-CN"/>
        </w:rPr>
        <w:t>1.</w:t>
      </w:r>
      <w:r>
        <w:rPr>
          <w:rFonts w:hint="default" w:ascii="Times New Roman" w:hAnsi="Times New Roman" w:eastAsia="仿宋GB2312" w:cs="Times New Roman"/>
          <w:color w:val="auto"/>
          <w:sz w:val="32"/>
          <w:szCs w:val="32"/>
          <w:lang w:eastAsia="zh-CN"/>
        </w:rPr>
        <w:t>候场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GB2312" w:cs="Times New Roman"/>
          <w:color w:val="auto"/>
          <w:sz w:val="32"/>
          <w:szCs w:val="32"/>
        </w:rPr>
      </w:pPr>
      <w:r>
        <w:rPr>
          <w:rFonts w:hint="default" w:ascii="Times New Roman" w:hAnsi="Times New Roman" w:eastAsia="仿宋GB2312" w:cs="Times New Roman"/>
          <w:color w:val="auto"/>
          <w:sz w:val="32"/>
          <w:szCs w:val="32"/>
        </w:rPr>
        <w:t>现场设置候场区，参赛队伍主讲人在区域内等候上场。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GB2312" w:cs="Times New Roman"/>
          <w:color w:val="auto"/>
          <w:sz w:val="32"/>
          <w:szCs w:val="32"/>
          <w:lang w:eastAsia="zh-CN"/>
        </w:rPr>
      </w:pPr>
      <w:r>
        <w:rPr>
          <w:rFonts w:hint="default" w:ascii="Times New Roman" w:hAnsi="Times New Roman" w:eastAsia="仿宋GB2312" w:cs="Times New Roman"/>
          <w:color w:val="auto"/>
          <w:sz w:val="32"/>
          <w:szCs w:val="32"/>
          <w:lang w:val="en-US" w:eastAsia="zh-CN"/>
        </w:rPr>
        <w:t>2.</w:t>
      </w:r>
      <w:r>
        <w:rPr>
          <w:rFonts w:hint="default" w:ascii="Times New Roman" w:hAnsi="Times New Roman" w:eastAsia="仿宋GB2312" w:cs="Times New Roman"/>
          <w:color w:val="auto"/>
          <w:sz w:val="32"/>
          <w:szCs w:val="32"/>
          <w:lang w:eastAsia="zh-CN"/>
        </w:rPr>
        <w:t>路演</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GB2312" w:cs="Times New Roman"/>
          <w:color w:val="auto"/>
          <w:sz w:val="32"/>
          <w:szCs w:val="32"/>
          <w:lang w:val="en-US" w:eastAsia="zh-CN"/>
        </w:rPr>
      </w:pPr>
      <w:r>
        <w:rPr>
          <w:rFonts w:hint="default" w:ascii="Times New Roman" w:hAnsi="Times New Roman" w:eastAsia="仿宋GB2312" w:cs="Times New Roman"/>
          <w:color w:val="auto"/>
          <w:sz w:val="32"/>
          <w:szCs w:val="32"/>
        </w:rPr>
        <w:t>主讲人</w:t>
      </w:r>
      <w:r>
        <w:rPr>
          <w:rFonts w:hint="default" w:ascii="Times New Roman" w:hAnsi="Times New Roman" w:eastAsia="仿宋GB2312" w:cs="Times New Roman"/>
          <w:color w:val="auto"/>
          <w:sz w:val="32"/>
          <w:szCs w:val="32"/>
          <w:lang w:eastAsia="zh-CN"/>
        </w:rPr>
        <w:t>（</w:t>
      </w:r>
      <w:r>
        <w:rPr>
          <w:rFonts w:hint="default" w:ascii="Times New Roman" w:hAnsi="Times New Roman" w:eastAsia="仿宋GB2312" w:cs="Times New Roman"/>
          <w:color w:val="auto"/>
          <w:sz w:val="32"/>
          <w:szCs w:val="32"/>
          <w:lang w:val="en-US" w:eastAsia="zh-CN"/>
        </w:rPr>
        <w:t>1人</w:t>
      </w:r>
      <w:r>
        <w:rPr>
          <w:rFonts w:hint="default" w:ascii="Times New Roman" w:hAnsi="Times New Roman" w:eastAsia="仿宋GB2312" w:cs="Times New Roman"/>
          <w:color w:val="auto"/>
          <w:sz w:val="32"/>
          <w:szCs w:val="32"/>
          <w:lang w:eastAsia="zh-CN"/>
        </w:rPr>
        <w:t>）</w:t>
      </w:r>
      <w:r>
        <w:rPr>
          <w:rFonts w:hint="default" w:ascii="Times New Roman" w:hAnsi="Times New Roman" w:eastAsia="仿宋GB2312" w:cs="Times New Roman"/>
          <w:color w:val="auto"/>
          <w:sz w:val="32"/>
          <w:szCs w:val="32"/>
        </w:rPr>
        <w:t>进行项目</w:t>
      </w:r>
      <w:r>
        <w:rPr>
          <w:rFonts w:hint="default" w:ascii="Times New Roman" w:hAnsi="Times New Roman" w:eastAsia="仿宋GB2312" w:cs="Times New Roman"/>
          <w:color w:val="auto"/>
          <w:sz w:val="32"/>
          <w:szCs w:val="32"/>
          <w:lang w:eastAsia="zh-CN"/>
        </w:rPr>
        <w:t>路演，</w:t>
      </w:r>
      <w:r>
        <w:rPr>
          <w:rFonts w:hint="default" w:ascii="Times New Roman" w:hAnsi="Times New Roman" w:eastAsia="仿宋GB2312" w:cs="Times New Roman"/>
          <w:color w:val="auto"/>
          <w:sz w:val="32"/>
          <w:szCs w:val="32"/>
          <w:lang w:val="en-US" w:eastAsia="zh-CN"/>
        </w:rPr>
        <w:t>限时8分钟。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GB2312" w:cs="Times New Roman"/>
          <w:color w:val="auto"/>
          <w:sz w:val="32"/>
          <w:szCs w:val="32"/>
          <w:lang w:eastAsia="zh-CN"/>
        </w:rPr>
      </w:pPr>
      <w:r>
        <w:rPr>
          <w:rFonts w:hint="default" w:ascii="Times New Roman" w:hAnsi="Times New Roman" w:eastAsia="仿宋GB2312" w:cs="Times New Roman"/>
          <w:color w:val="auto"/>
          <w:sz w:val="32"/>
          <w:szCs w:val="32"/>
          <w:lang w:val="en-US" w:eastAsia="zh-CN"/>
        </w:rPr>
        <w:t>3.</w:t>
      </w:r>
      <w:r>
        <w:rPr>
          <w:rFonts w:hint="default" w:ascii="Times New Roman" w:hAnsi="Times New Roman" w:eastAsia="仿宋GB2312" w:cs="Times New Roman"/>
          <w:color w:val="auto"/>
          <w:sz w:val="32"/>
          <w:szCs w:val="32"/>
          <w:lang w:eastAsia="zh-CN"/>
        </w:rPr>
        <w:t>提问点评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GB2312" w:cs="Times New Roman"/>
          <w:color w:val="auto"/>
          <w:sz w:val="32"/>
          <w:szCs w:val="32"/>
        </w:rPr>
      </w:pPr>
      <w:r>
        <w:rPr>
          <w:rFonts w:hint="default" w:ascii="Times New Roman" w:hAnsi="Times New Roman" w:eastAsia="仿宋GB2312" w:cs="Times New Roman"/>
          <w:color w:val="auto"/>
          <w:sz w:val="32"/>
          <w:szCs w:val="32"/>
          <w:lang w:eastAsia="zh-CN"/>
        </w:rPr>
        <w:t>路演</w:t>
      </w:r>
      <w:r>
        <w:rPr>
          <w:rFonts w:hint="default" w:ascii="Times New Roman" w:hAnsi="Times New Roman" w:eastAsia="仿宋GB2312" w:cs="Times New Roman"/>
          <w:color w:val="auto"/>
          <w:sz w:val="32"/>
          <w:szCs w:val="32"/>
        </w:rPr>
        <w:t>结束，评委</w:t>
      </w:r>
      <w:r>
        <w:rPr>
          <w:rFonts w:hint="default" w:ascii="Times New Roman" w:hAnsi="Times New Roman" w:eastAsia="仿宋GB2312" w:cs="Times New Roman"/>
          <w:color w:val="auto"/>
          <w:sz w:val="32"/>
          <w:szCs w:val="32"/>
          <w:lang w:eastAsia="zh-CN"/>
        </w:rPr>
        <w:t>对参赛项目进行</w:t>
      </w:r>
      <w:r>
        <w:rPr>
          <w:rFonts w:hint="default" w:ascii="Times New Roman" w:hAnsi="Times New Roman" w:eastAsia="仿宋GB2312" w:cs="Times New Roman"/>
          <w:color w:val="auto"/>
          <w:sz w:val="32"/>
          <w:szCs w:val="32"/>
        </w:rPr>
        <w:t>提问或点评，参赛</w:t>
      </w:r>
      <w:r>
        <w:rPr>
          <w:rFonts w:hint="default" w:ascii="Times New Roman" w:hAnsi="Times New Roman" w:eastAsia="仿宋GB2312" w:cs="Times New Roman"/>
          <w:color w:val="auto"/>
          <w:sz w:val="32"/>
          <w:szCs w:val="32"/>
          <w:lang w:eastAsia="zh-CN"/>
        </w:rPr>
        <w:t>代表（限</w:t>
      </w:r>
      <w:r>
        <w:rPr>
          <w:rFonts w:hint="default" w:ascii="Times New Roman" w:hAnsi="Times New Roman" w:eastAsia="仿宋GB2312" w:cs="Times New Roman"/>
          <w:color w:val="auto"/>
          <w:sz w:val="32"/>
          <w:szCs w:val="32"/>
          <w:lang w:val="en-US" w:eastAsia="zh-CN"/>
        </w:rPr>
        <w:t>3人</w:t>
      </w:r>
      <w:r>
        <w:rPr>
          <w:rFonts w:hint="default" w:ascii="Times New Roman" w:hAnsi="Times New Roman" w:eastAsia="仿宋GB2312" w:cs="Times New Roman"/>
          <w:color w:val="auto"/>
          <w:sz w:val="32"/>
          <w:szCs w:val="32"/>
          <w:lang w:eastAsia="zh-CN"/>
        </w:rPr>
        <w:t>）进行</w:t>
      </w:r>
      <w:r>
        <w:rPr>
          <w:rFonts w:hint="default" w:ascii="Times New Roman" w:hAnsi="Times New Roman" w:eastAsia="仿宋GB2312" w:cs="Times New Roman"/>
          <w:color w:val="auto"/>
          <w:sz w:val="32"/>
          <w:szCs w:val="32"/>
        </w:rPr>
        <w:t>回答</w:t>
      </w:r>
      <w:r>
        <w:rPr>
          <w:rFonts w:hint="default" w:ascii="Times New Roman" w:hAnsi="Times New Roman" w:eastAsia="仿宋GB2312" w:cs="Times New Roman"/>
          <w:color w:val="auto"/>
          <w:sz w:val="32"/>
          <w:szCs w:val="32"/>
          <w:lang w:eastAsia="zh-CN"/>
        </w:rPr>
        <w:t>，限时</w:t>
      </w:r>
      <w:r>
        <w:rPr>
          <w:rFonts w:hint="default" w:ascii="Times New Roman" w:hAnsi="Times New Roman" w:eastAsia="仿宋GB2312" w:cs="Times New Roman"/>
          <w:color w:val="auto"/>
          <w:sz w:val="32"/>
          <w:szCs w:val="32"/>
          <w:lang w:val="en-US" w:eastAsia="zh-CN"/>
        </w:rPr>
        <w:t>5分钟</w:t>
      </w:r>
      <w:r>
        <w:rPr>
          <w:rFonts w:hint="default" w:ascii="Times New Roman" w:hAnsi="Times New Roman" w:eastAsia="仿宋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（三）</w:t>
      </w:r>
      <w:r>
        <w:rPr>
          <w:rFonts w:hint="default" w:ascii="Times New Roman" w:hAnsi="Times New Roman" w:eastAsia="楷体_GB2312" w:cs="Times New Roman"/>
          <w:b w:val="0"/>
          <w:bCs w:val="0"/>
          <w:color w:val="auto"/>
          <w:sz w:val="32"/>
          <w:szCs w:val="32"/>
          <w:lang w:val="en-US" w:eastAsia="zh-CN"/>
        </w:rPr>
        <w:t>决赛</w:t>
      </w:r>
      <w:r>
        <w:rPr>
          <w:rFonts w:hint="default" w:ascii="Times New Roman" w:hAnsi="Times New Roman" w:eastAsia="楷体_GB2312" w:cs="Times New Roman"/>
          <w:b w:val="0"/>
          <w:bCs w:val="0"/>
          <w:color w:val="auto"/>
          <w:sz w:val="32"/>
          <w:szCs w:val="32"/>
          <w:lang w:eastAsia="zh-CN"/>
        </w:rPr>
        <w:t>评委</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决赛评委由大赛执委会办公室从中国创新创业大赛贵州赛区专家评委库中抽取，每场比赛邀请7名评委，包含技术评委和创投评委。</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四</w:t>
      </w:r>
      <w:r>
        <w:rPr>
          <w:rFonts w:hint="default" w:ascii="Times New Roman" w:hAnsi="Times New Roman" w:eastAsia="楷体_GB2312" w:cs="Times New Roman"/>
          <w:b w:val="0"/>
          <w:bCs w:val="0"/>
          <w:color w:val="auto"/>
          <w:sz w:val="32"/>
          <w:szCs w:val="32"/>
          <w:lang w:eastAsia="zh-CN"/>
        </w:rPr>
        <w:t>）评分规则</w:t>
      </w:r>
    </w:p>
    <w:p>
      <w:pPr>
        <w:keepNext w:val="0"/>
        <w:keepLines w:val="0"/>
        <w:pageBreakBefore w:val="0"/>
        <w:widowControl w:val="0"/>
        <w:shd w:val="clear"/>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每名评委按照评分</w:t>
      </w:r>
      <w:r>
        <w:rPr>
          <w:rFonts w:hint="default" w:ascii="Times New Roman" w:hAnsi="Times New Roman" w:eastAsia="仿宋_GB2312" w:cs="Times New Roman"/>
          <w:color w:val="auto"/>
          <w:sz w:val="32"/>
          <w:szCs w:val="32"/>
          <w:highlight w:val="none"/>
          <w:lang w:val="en-US" w:eastAsia="zh-CN"/>
        </w:rPr>
        <w:t>指标对每家参赛企业</w:t>
      </w:r>
      <w:r>
        <w:rPr>
          <w:rFonts w:hint="default" w:ascii="Times New Roman" w:hAnsi="Times New Roman" w:eastAsia="仿宋_GB2312" w:cs="Times New Roman"/>
          <w:color w:val="auto"/>
          <w:sz w:val="32"/>
          <w:szCs w:val="32"/>
          <w:highlight w:val="none"/>
        </w:rPr>
        <w:t>进行打分，总分100分，并写出评价意见和建议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7名评委打分去掉一个最高分和一个最低分后，取平均值即为参赛队伍</w:t>
      </w:r>
      <w:r>
        <w:rPr>
          <w:rFonts w:hint="default" w:ascii="Times New Roman" w:hAnsi="Times New Roman" w:eastAsia="仿宋_GB2312" w:cs="Times New Roman"/>
          <w:color w:val="auto"/>
          <w:sz w:val="32"/>
          <w:szCs w:val="32"/>
          <w:highlight w:val="none"/>
          <w:lang w:val="en-US" w:eastAsia="zh-CN"/>
        </w:rPr>
        <w:t>最终</w:t>
      </w:r>
      <w:r>
        <w:rPr>
          <w:rFonts w:hint="default" w:ascii="Times New Roman" w:hAnsi="Times New Roman" w:eastAsia="仿宋_GB2312" w:cs="Times New Roman"/>
          <w:color w:val="auto"/>
          <w:sz w:val="32"/>
          <w:szCs w:val="32"/>
          <w:highlight w:val="none"/>
        </w:rPr>
        <w:t>得分。</w:t>
      </w:r>
    </w:p>
    <w:p>
      <w:pPr>
        <w:keepNext w:val="0"/>
        <w:keepLines w:val="0"/>
        <w:pageBreakBefore w:val="0"/>
        <w:widowControl/>
        <w:shd w:val="clear"/>
        <w:kinsoku/>
        <w:wordWrap/>
        <w:overflowPunct/>
        <w:autoSpaceDE/>
        <w:autoSpaceDN/>
        <w:bidi w:val="0"/>
        <w:spacing w:line="560" w:lineRule="exact"/>
        <w:ind w:left="0" w:leftChars="0" w:firstLine="0" w:firstLineChars="0"/>
        <w:jc w:val="center"/>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评分指标</w:t>
      </w:r>
    </w:p>
    <w:tbl>
      <w:tblPr>
        <w:tblStyle w:val="6"/>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10"/>
        <w:gridCol w:w="2552"/>
        <w:gridCol w:w="24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3510" w:type="dxa"/>
            <w:vAlign w:val="center"/>
          </w:tcPr>
          <w:p>
            <w:pPr>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评价内容</w:t>
            </w:r>
          </w:p>
        </w:tc>
        <w:tc>
          <w:tcPr>
            <w:tcW w:w="2552" w:type="dxa"/>
            <w:vAlign w:val="center"/>
          </w:tcPr>
          <w:p>
            <w:pPr>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分值（初创组）</w:t>
            </w:r>
          </w:p>
        </w:tc>
        <w:tc>
          <w:tcPr>
            <w:tcW w:w="2460" w:type="dxa"/>
            <w:vAlign w:val="center"/>
          </w:tcPr>
          <w:p>
            <w:pPr>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分值（成长组）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10" w:type="dxa"/>
            <w:vAlign w:val="center"/>
          </w:tcPr>
          <w:p>
            <w:pPr>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技术和产品</w:t>
            </w:r>
          </w:p>
        </w:tc>
        <w:tc>
          <w:tcPr>
            <w:tcW w:w="2552" w:type="dxa"/>
            <w:vAlign w:val="center"/>
          </w:tcPr>
          <w:p>
            <w:pPr>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30</w:t>
            </w:r>
          </w:p>
        </w:tc>
        <w:tc>
          <w:tcPr>
            <w:tcW w:w="2460" w:type="dxa"/>
            <w:vAlign w:val="center"/>
          </w:tcPr>
          <w:p>
            <w:pPr>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10" w:type="dxa"/>
            <w:vAlign w:val="center"/>
          </w:tcPr>
          <w:p>
            <w:pPr>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商业模式及实施方案</w:t>
            </w:r>
          </w:p>
        </w:tc>
        <w:tc>
          <w:tcPr>
            <w:tcW w:w="2552" w:type="dxa"/>
            <w:vAlign w:val="center"/>
          </w:tcPr>
          <w:p>
            <w:pPr>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15</w:t>
            </w:r>
          </w:p>
        </w:tc>
        <w:tc>
          <w:tcPr>
            <w:tcW w:w="2460" w:type="dxa"/>
            <w:vAlign w:val="center"/>
          </w:tcPr>
          <w:p>
            <w:pPr>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10" w:type="dxa"/>
            <w:vAlign w:val="center"/>
          </w:tcPr>
          <w:p>
            <w:pPr>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行业及市场</w:t>
            </w:r>
          </w:p>
        </w:tc>
        <w:tc>
          <w:tcPr>
            <w:tcW w:w="2552" w:type="dxa"/>
            <w:vAlign w:val="center"/>
          </w:tcPr>
          <w:p>
            <w:pPr>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20</w:t>
            </w:r>
          </w:p>
        </w:tc>
        <w:tc>
          <w:tcPr>
            <w:tcW w:w="2460" w:type="dxa"/>
            <w:vAlign w:val="center"/>
          </w:tcPr>
          <w:p>
            <w:pPr>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10" w:type="dxa"/>
            <w:vAlign w:val="center"/>
          </w:tcPr>
          <w:p>
            <w:pPr>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团队</w:t>
            </w:r>
          </w:p>
        </w:tc>
        <w:tc>
          <w:tcPr>
            <w:tcW w:w="2552" w:type="dxa"/>
            <w:vAlign w:val="center"/>
          </w:tcPr>
          <w:p>
            <w:pPr>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30</w:t>
            </w:r>
          </w:p>
        </w:tc>
        <w:tc>
          <w:tcPr>
            <w:tcW w:w="2460" w:type="dxa"/>
            <w:vAlign w:val="center"/>
          </w:tcPr>
          <w:p>
            <w:pPr>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510" w:type="dxa"/>
            <w:vAlign w:val="center"/>
          </w:tcPr>
          <w:p>
            <w:pPr>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财务分析</w:t>
            </w:r>
          </w:p>
        </w:tc>
        <w:tc>
          <w:tcPr>
            <w:tcW w:w="2552" w:type="dxa"/>
            <w:vAlign w:val="center"/>
          </w:tcPr>
          <w:p>
            <w:pPr>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5</w:t>
            </w:r>
          </w:p>
        </w:tc>
        <w:tc>
          <w:tcPr>
            <w:tcW w:w="2460" w:type="dxa"/>
            <w:vAlign w:val="center"/>
          </w:tcPr>
          <w:p>
            <w:pPr>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rPr>
              <w:t>10</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五</w:t>
      </w: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lang w:val="en-US" w:eastAsia="zh-CN"/>
        </w:rPr>
        <w:t>实时计分</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为体现大赛的公平性，</w:t>
      </w:r>
      <w:r>
        <w:rPr>
          <w:rFonts w:hint="default" w:ascii="Times New Roman" w:hAnsi="Times New Roman" w:eastAsia="仿宋_GB2312" w:cs="Times New Roman"/>
          <w:sz w:val="32"/>
          <w:szCs w:val="32"/>
          <w:lang w:eastAsia="zh-CN"/>
        </w:rPr>
        <w:t>将</w:t>
      </w:r>
      <w:r>
        <w:rPr>
          <w:rFonts w:hint="default" w:ascii="Times New Roman" w:hAnsi="Times New Roman" w:eastAsia="仿宋_GB2312" w:cs="Times New Roman"/>
          <w:sz w:val="32"/>
          <w:szCs w:val="32"/>
        </w:rPr>
        <w:t>在公证处的</w:t>
      </w:r>
      <w:r>
        <w:rPr>
          <w:rFonts w:hint="default" w:ascii="Times New Roman" w:hAnsi="Times New Roman" w:eastAsia="仿宋_GB2312" w:cs="Times New Roman"/>
          <w:sz w:val="32"/>
          <w:szCs w:val="32"/>
          <w:lang w:eastAsia="zh-CN"/>
        </w:rPr>
        <w:t>全程</w:t>
      </w:r>
      <w:r>
        <w:rPr>
          <w:rFonts w:hint="default" w:ascii="Times New Roman" w:hAnsi="Times New Roman" w:eastAsia="仿宋_GB2312" w:cs="Times New Roman"/>
          <w:sz w:val="32"/>
          <w:szCs w:val="32"/>
        </w:rPr>
        <w:t>监督下，采取实时打分、实时统分，决赛结束</w:t>
      </w:r>
      <w:r>
        <w:rPr>
          <w:rFonts w:hint="default" w:ascii="Times New Roman" w:hAnsi="Times New Roman" w:eastAsia="仿宋_GB2312" w:cs="Times New Roman"/>
          <w:sz w:val="32"/>
          <w:szCs w:val="32"/>
          <w:lang w:eastAsia="zh-CN"/>
        </w:rPr>
        <w:t>后</w:t>
      </w:r>
      <w:r>
        <w:rPr>
          <w:rFonts w:hint="default" w:ascii="Times New Roman" w:hAnsi="Times New Roman" w:eastAsia="仿宋_GB2312" w:cs="Times New Roman"/>
          <w:sz w:val="32"/>
          <w:szCs w:val="32"/>
        </w:rPr>
        <w:t>统一</w:t>
      </w:r>
      <w:r>
        <w:rPr>
          <w:rFonts w:hint="default" w:ascii="Times New Roman" w:hAnsi="Times New Roman" w:eastAsia="仿宋_GB2312" w:cs="Times New Roman"/>
          <w:sz w:val="32"/>
          <w:szCs w:val="32"/>
          <w:lang w:eastAsia="zh-CN"/>
        </w:rPr>
        <w:t>公</w:t>
      </w:r>
      <w:r>
        <w:rPr>
          <w:rFonts w:hint="default" w:ascii="Times New Roman" w:hAnsi="Times New Roman" w:eastAsia="仿宋_GB2312" w:cs="Times New Roman"/>
          <w:sz w:val="32"/>
          <w:szCs w:val="32"/>
        </w:rPr>
        <w:t>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eastAsia="zh-CN"/>
        </w:rPr>
        <w:t>奖项设置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贵州赛区共</w:t>
      </w:r>
      <w:r>
        <w:rPr>
          <w:rFonts w:hint="default" w:ascii="Times New Roman" w:hAnsi="Times New Roman" w:eastAsia="仿宋_GB2312" w:cs="Times New Roman"/>
          <w:sz w:val="32"/>
          <w:szCs w:val="32"/>
        </w:rPr>
        <w:t>评选出初创企业组一、二、三等奖各1名，优秀奖若干名；成长企业组一等奖1名、二等奖2名、三等奖3名，优秀奖若干名。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晋级</w:t>
      </w:r>
      <w:r>
        <w:rPr>
          <w:rFonts w:hint="default" w:ascii="Times New Roman" w:hAnsi="Times New Roman" w:eastAsia="黑体" w:cs="Times New Roman"/>
          <w:sz w:val="32"/>
          <w:szCs w:val="32"/>
          <w:lang w:val="en-US" w:eastAsia="zh-CN"/>
        </w:rPr>
        <w:t>全国赛</w:t>
      </w:r>
      <w:r>
        <w:rPr>
          <w:rFonts w:hint="default" w:ascii="Times New Roman" w:hAnsi="Times New Roman" w:eastAsia="黑体" w:cs="Times New Roman"/>
          <w:sz w:val="32"/>
          <w:szCs w:val="32"/>
        </w:rPr>
        <w:t>原则</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中国创新创业大赛组委会办公室关于推荐第十二届中国创新创业大赛全国赛入围企业的通知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，贵州赛区将按照决赛得分高低，择优推荐</w:t>
      </w:r>
      <w:r>
        <w:rPr>
          <w:rFonts w:hint="default" w:ascii="Times New Roman" w:hAnsi="Times New Roman" w:eastAsia="仿宋_GB2312" w:cs="Times New Roman"/>
          <w:sz w:val="32"/>
          <w:szCs w:val="32"/>
          <w:lang w:val="en-US" w:eastAsia="zh-CN"/>
        </w:rPr>
        <w:t>13家企业</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初创企业组</w:t>
      </w:r>
      <w:r>
        <w:rPr>
          <w:rFonts w:hint="default" w:ascii="Times New Roman" w:hAnsi="Times New Roman" w:eastAsia="仿宋_GB2312" w:cs="Times New Roman"/>
          <w:sz w:val="32"/>
          <w:szCs w:val="32"/>
          <w:highlight w:val="none"/>
          <w:lang w:val="en-US" w:eastAsia="zh-CN"/>
        </w:rPr>
        <w:t>4个名额</w:t>
      </w:r>
      <w:r>
        <w:rPr>
          <w:rFonts w:hint="default" w:ascii="Times New Roman" w:hAnsi="Times New Roman" w:eastAsia="仿宋_GB2312" w:cs="Times New Roman"/>
          <w:sz w:val="32"/>
          <w:szCs w:val="32"/>
          <w:highlight w:val="none"/>
        </w:rPr>
        <w:t>、成长企业组</w:t>
      </w:r>
      <w:r>
        <w:rPr>
          <w:rFonts w:hint="default" w:ascii="Times New Roman" w:hAnsi="Times New Roman" w:eastAsia="仿宋_GB2312" w:cs="Times New Roman"/>
          <w:sz w:val="32"/>
          <w:szCs w:val="32"/>
          <w:highlight w:val="none"/>
          <w:lang w:val="en-US" w:eastAsia="zh-CN"/>
        </w:rPr>
        <w:t>9个名额）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代表贵州出战全国赛。其中，参加全国赛的成长企业组企业必须是已在科技部火炬中心业务平台备案的科技型中小企业（或正处于公示期）</w:t>
      </w:r>
      <w:r>
        <w:rPr>
          <w:rFonts w:hint="default" w:ascii="Times New Roman" w:hAnsi="Times New Roman" w:eastAsia="仿宋_GB2312" w:cs="Times New Roman"/>
          <w:sz w:val="32"/>
          <w:szCs w:val="32"/>
          <w:lang w:val="en-US" w:eastAsia="zh-CN"/>
        </w:rPr>
        <w:t>或在有效期内的高新技术企业</w:t>
      </w:r>
      <w:r>
        <w:rPr>
          <w:rFonts w:hint="default" w:ascii="Times New Roman" w:hAnsi="Times New Roman" w:eastAsia="仿宋_GB2312" w:cs="Times New Roman"/>
          <w:sz w:val="32"/>
          <w:szCs w:val="32"/>
        </w:rPr>
        <w:t>，否则自动失去全国赛参赛资格，大赛将按照成长企业组决赛得分高低</w:t>
      </w:r>
      <w:r>
        <w:rPr>
          <w:rFonts w:hint="default" w:ascii="Times New Roman" w:hAnsi="Times New Roman" w:eastAsia="仿宋_GB2312" w:cs="Times New Roman"/>
          <w:sz w:val="32"/>
          <w:szCs w:val="32"/>
          <w:lang w:eastAsia="zh-CN"/>
        </w:rPr>
        <w:t>推荐</w:t>
      </w:r>
      <w:r>
        <w:rPr>
          <w:rFonts w:hint="default" w:ascii="Times New Roman" w:hAnsi="Times New Roman" w:eastAsia="仿宋_GB2312" w:cs="Times New Roman"/>
          <w:sz w:val="32"/>
          <w:szCs w:val="32"/>
        </w:rPr>
        <w:t>其他企业顺序递补。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GB2312">
    <w:altName w:val="仿宋"/>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Zjg2Y2I1ODU5ZGZkNTBhNTM2MzQ2N2Q3MGNjZGEifQ=="/>
  </w:docVars>
  <w:rsids>
    <w:rsidRoot w:val="32E17131"/>
    <w:rsid w:val="32E17131"/>
    <w:rsid w:val="4817312B"/>
    <w:rsid w:val="64700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ascii="Calibri" w:hAnsi="Calibri"/>
      <w:b/>
      <w:kern w:val="44"/>
      <w:sz w:val="44"/>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b/>
      <w:sz w:val="32"/>
    </w:rPr>
  </w:style>
  <w:style w:type="paragraph" w:styleId="4">
    <w:name w:val="table of authorities"/>
    <w:basedOn w:val="1"/>
    <w:next w:val="1"/>
    <w:unhideWhenUsed/>
    <w:qFormat/>
    <w:uiPriority w:val="99"/>
    <w:pPr>
      <w:ind w:left="420" w:leftChars="200"/>
    </w:pPr>
    <w:rPr>
      <w:rFonts w:ascii="Times New Roman" w:hAnsi="Times New Roman" w:eastAsia="宋体" w:cs="Times New Roman"/>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2023-08-18T01:57:00Z</dcterms:created>
  <dc:creator>张金廉</dc:creator>
  <cp:lastModifiedBy>张金廉</cp:lastModifiedBy>
  <dcterms:modified xsi:type="dcterms:W3CDTF">2023-08-18T01:57:44Z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7527AFB272BC4DDD9F5946DE8DEF2A28_11</vt:lpwstr>
  </property>
</Properties>
</file>